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9ECB5" w14:textId="77777777" w:rsidR="00426415" w:rsidRDefault="00426415" w:rsidP="006F566A">
      <w:pPr>
        <w:shd w:val="clear" w:color="auto" w:fill="FFFFFF"/>
        <w:spacing w:after="150"/>
        <w:jc w:val="center"/>
        <w:rPr>
          <w:rFonts w:ascii="HelveticaNeue-Bold" w:hAnsi="HelveticaNeue-Bold" w:cs="Times New Roman"/>
          <w:color w:val="333333"/>
          <w:spacing w:val="8"/>
          <w:sz w:val="21"/>
          <w:szCs w:val="21"/>
        </w:rPr>
      </w:pPr>
      <w:bookmarkStart w:id="0" w:name="_GoBack"/>
      <w:bookmarkEnd w:id="0"/>
    </w:p>
    <w:p w14:paraId="6BCAB969" w14:textId="77777777" w:rsidR="00426415" w:rsidRDefault="00426415" w:rsidP="006F566A">
      <w:pPr>
        <w:shd w:val="clear" w:color="auto" w:fill="FFFFFF"/>
        <w:spacing w:after="150"/>
        <w:jc w:val="center"/>
        <w:rPr>
          <w:rFonts w:ascii="HelveticaNeue-Bold" w:hAnsi="HelveticaNeue-Bold" w:cs="Times New Roman"/>
          <w:color w:val="333333"/>
          <w:spacing w:val="8"/>
          <w:sz w:val="21"/>
          <w:szCs w:val="21"/>
        </w:rPr>
      </w:pPr>
      <w:r>
        <w:rPr>
          <w:rFonts w:ascii="HelveticaNeue-Bold" w:hAnsi="HelveticaNeue-Bold" w:cs="Times New Roman"/>
          <w:noProof/>
          <w:color w:val="333333"/>
          <w:spacing w:val="8"/>
          <w:sz w:val="21"/>
          <w:szCs w:val="21"/>
        </w:rPr>
        <w:drawing>
          <wp:inline distT="0" distB="0" distL="0" distR="0" wp14:anchorId="4922BBDB" wp14:editId="548D9CA5">
            <wp:extent cx="1626235" cy="1626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ents by Jade 72dpi-01.png"/>
                    <pic:cNvPicPr/>
                  </pic:nvPicPr>
                  <pic:blipFill>
                    <a:blip r:embed="rId7">
                      <a:extLst>
                        <a:ext uri="{28A0092B-C50C-407E-A947-70E740481C1C}">
                          <a14:useLocalDpi xmlns:a14="http://schemas.microsoft.com/office/drawing/2010/main" val="0"/>
                        </a:ext>
                      </a:extLst>
                    </a:blip>
                    <a:stretch>
                      <a:fillRect/>
                    </a:stretch>
                  </pic:blipFill>
                  <pic:spPr>
                    <a:xfrm>
                      <a:off x="0" y="0"/>
                      <a:ext cx="1631602" cy="1631602"/>
                    </a:xfrm>
                    <a:prstGeom prst="rect">
                      <a:avLst/>
                    </a:prstGeom>
                  </pic:spPr>
                </pic:pic>
              </a:graphicData>
            </a:graphic>
          </wp:inline>
        </w:drawing>
      </w:r>
    </w:p>
    <w:p w14:paraId="5B37F34B" w14:textId="77777777" w:rsidR="006F566A" w:rsidRPr="00426415" w:rsidRDefault="006F566A" w:rsidP="006F566A">
      <w:pPr>
        <w:shd w:val="clear" w:color="auto" w:fill="FFFFFF"/>
        <w:spacing w:after="150"/>
        <w:jc w:val="center"/>
        <w:rPr>
          <w:rFonts w:ascii="HelveticaNeue-Bold" w:hAnsi="HelveticaNeue-Bold" w:cs="Times New Roman"/>
          <w:b/>
          <w:color w:val="333333"/>
          <w:spacing w:val="8"/>
          <w:sz w:val="21"/>
          <w:szCs w:val="21"/>
        </w:rPr>
      </w:pPr>
      <w:r w:rsidRPr="00426415">
        <w:rPr>
          <w:rFonts w:ascii="HelveticaNeue-Bold" w:hAnsi="HelveticaNeue-Bold" w:cs="Times New Roman"/>
          <w:b/>
          <w:color w:val="333333"/>
          <w:spacing w:val="8"/>
          <w:sz w:val="21"/>
          <w:szCs w:val="21"/>
        </w:rPr>
        <w:t>Wedding License in Texas</w:t>
      </w:r>
    </w:p>
    <w:p w14:paraId="0C7D71B8" w14:textId="77777777" w:rsidR="00426415" w:rsidRPr="006F566A" w:rsidRDefault="00426415" w:rsidP="006F566A">
      <w:pPr>
        <w:shd w:val="clear" w:color="auto" w:fill="FFFFFF"/>
        <w:spacing w:after="150"/>
        <w:jc w:val="center"/>
        <w:rPr>
          <w:rFonts w:ascii="HelveticaNeue-Light" w:hAnsi="HelveticaNeue-Light" w:cs="Times New Roman"/>
          <w:color w:val="333333"/>
          <w:sz w:val="21"/>
          <w:szCs w:val="21"/>
        </w:rPr>
      </w:pPr>
    </w:p>
    <w:p w14:paraId="438061C8" w14:textId="77777777" w:rsidR="006F566A" w:rsidRPr="006F566A" w:rsidRDefault="006F566A" w:rsidP="006F566A">
      <w:pPr>
        <w:shd w:val="clear" w:color="auto" w:fill="FFFFFF"/>
        <w:spacing w:after="150"/>
        <w:rPr>
          <w:rFonts w:ascii="HelveticaNeue-Light" w:hAnsi="HelveticaNeue-Light" w:cs="Times New Roman"/>
          <w:color w:val="333333"/>
          <w:sz w:val="21"/>
          <w:szCs w:val="21"/>
        </w:rPr>
      </w:pPr>
      <w:r w:rsidRPr="006F566A">
        <w:rPr>
          <w:rFonts w:ascii="HelveticaNeue-Light" w:hAnsi="HelveticaNeue-Light" w:cs="Times New Roman"/>
          <w:color w:val="333333"/>
          <w:sz w:val="21"/>
          <w:szCs w:val="21"/>
        </w:rPr>
        <w:t>There are two types of marriage licenses--</w:t>
      </w:r>
      <w:r w:rsidRPr="006F566A">
        <w:rPr>
          <w:rFonts w:ascii="HelveticaNeue-Light" w:hAnsi="HelveticaNeue-Light" w:cs="Times New Roman"/>
          <w:i/>
          <w:iCs/>
          <w:color w:val="333333"/>
          <w:sz w:val="21"/>
          <w:szCs w:val="21"/>
        </w:rPr>
        <w:t>Formal</w:t>
      </w:r>
      <w:r w:rsidRPr="006F566A">
        <w:rPr>
          <w:rFonts w:ascii="HelveticaNeue-Light" w:hAnsi="HelveticaNeue-Light" w:cs="Times New Roman"/>
          <w:color w:val="333333"/>
          <w:sz w:val="21"/>
          <w:szCs w:val="21"/>
        </w:rPr>
        <w:t> marriage license and </w:t>
      </w:r>
      <w:r w:rsidRPr="006F566A">
        <w:rPr>
          <w:rFonts w:ascii="HelveticaNeue-Light" w:hAnsi="HelveticaNeue-Light" w:cs="Times New Roman"/>
          <w:i/>
          <w:iCs/>
          <w:color w:val="333333"/>
          <w:sz w:val="21"/>
          <w:szCs w:val="21"/>
        </w:rPr>
        <w:t>Declaration and</w:t>
      </w:r>
      <w:r w:rsidRPr="006F566A">
        <w:rPr>
          <w:rFonts w:ascii="HelveticaNeue-Light" w:hAnsi="HelveticaNeue-Light" w:cs="Times New Roman"/>
          <w:color w:val="333333"/>
          <w:sz w:val="21"/>
          <w:szCs w:val="21"/>
        </w:rPr>
        <w:t> </w:t>
      </w:r>
      <w:r w:rsidRPr="006F566A">
        <w:rPr>
          <w:rFonts w:ascii="HelveticaNeue-Light" w:hAnsi="HelveticaNeue-Light" w:cs="Times New Roman"/>
          <w:i/>
          <w:iCs/>
          <w:color w:val="333333"/>
          <w:sz w:val="21"/>
          <w:szCs w:val="21"/>
        </w:rPr>
        <w:t>Registration of an Informal Marriage (Common law).</w:t>
      </w:r>
      <w:r w:rsidRPr="006F566A">
        <w:rPr>
          <w:rFonts w:ascii="HelveticaNeue-Light" w:hAnsi="HelveticaNeue-Light" w:cs="Times New Roman"/>
          <w:color w:val="333333"/>
          <w:sz w:val="21"/>
          <w:szCs w:val="21"/>
        </w:rPr>
        <w:t> The basic requirements are the same for both types of marriage.</w:t>
      </w:r>
    </w:p>
    <w:p w14:paraId="2F340981" w14:textId="77777777" w:rsidR="006F566A" w:rsidRPr="006F566A" w:rsidRDefault="006F566A" w:rsidP="006F566A">
      <w:pPr>
        <w:numPr>
          <w:ilvl w:val="0"/>
          <w:numId w:val="1"/>
        </w:numPr>
        <w:shd w:val="clear" w:color="auto" w:fill="FFFFFF"/>
        <w:spacing w:before="100" w:beforeAutospacing="1" w:after="100" w:afterAutospacing="1"/>
        <w:rPr>
          <w:rFonts w:ascii="HelveticaNeue-Light" w:eastAsia="Times New Roman" w:hAnsi="HelveticaNeue-Light" w:cs="Times New Roman"/>
          <w:color w:val="333333"/>
          <w:sz w:val="21"/>
          <w:szCs w:val="21"/>
        </w:rPr>
      </w:pPr>
      <w:r w:rsidRPr="006F566A">
        <w:rPr>
          <w:rFonts w:ascii="HelveticaNeue-Light" w:eastAsia="Times New Roman" w:hAnsi="HelveticaNeue-Light" w:cs="Times New Roman"/>
          <w:color w:val="333333"/>
          <w:sz w:val="21"/>
          <w:szCs w:val="21"/>
        </w:rPr>
        <w:t>Both parties must appear in person.</w:t>
      </w:r>
    </w:p>
    <w:p w14:paraId="7A5D5727" w14:textId="77777777" w:rsidR="006F566A" w:rsidRPr="006F566A" w:rsidRDefault="006F566A" w:rsidP="006F566A">
      <w:pPr>
        <w:numPr>
          <w:ilvl w:val="0"/>
          <w:numId w:val="1"/>
        </w:numPr>
        <w:shd w:val="clear" w:color="auto" w:fill="FFFFFF"/>
        <w:spacing w:before="100" w:beforeAutospacing="1" w:after="100" w:afterAutospacing="1"/>
        <w:rPr>
          <w:rFonts w:ascii="HelveticaNeue-Light" w:eastAsia="Times New Roman" w:hAnsi="HelveticaNeue-Light" w:cs="Times New Roman"/>
          <w:color w:val="333333"/>
          <w:sz w:val="21"/>
          <w:szCs w:val="21"/>
        </w:rPr>
      </w:pPr>
      <w:r w:rsidRPr="006F566A">
        <w:rPr>
          <w:rFonts w:ascii="HelveticaNeue-Light" w:eastAsia="Times New Roman" w:hAnsi="HelveticaNeue-Light" w:cs="Times New Roman"/>
          <w:color w:val="333333"/>
          <w:sz w:val="21"/>
          <w:szCs w:val="21"/>
        </w:rPr>
        <w:t>Both parties must be at least 18 years of age.</w:t>
      </w:r>
    </w:p>
    <w:p w14:paraId="69E56355" w14:textId="77777777" w:rsidR="006F566A" w:rsidRPr="006F566A" w:rsidRDefault="006F566A" w:rsidP="006F566A">
      <w:pPr>
        <w:numPr>
          <w:ilvl w:val="0"/>
          <w:numId w:val="1"/>
        </w:numPr>
        <w:shd w:val="clear" w:color="auto" w:fill="FFFFFF"/>
        <w:spacing w:before="100" w:beforeAutospacing="1" w:after="100" w:afterAutospacing="1"/>
        <w:rPr>
          <w:rFonts w:ascii="HelveticaNeue-Light" w:eastAsia="Times New Roman" w:hAnsi="HelveticaNeue-Light" w:cs="Times New Roman"/>
          <w:color w:val="333333"/>
          <w:sz w:val="21"/>
          <w:szCs w:val="21"/>
        </w:rPr>
      </w:pPr>
      <w:r w:rsidRPr="006F566A">
        <w:rPr>
          <w:rFonts w:ascii="HelveticaNeue-Light" w:eastAsia="Times New Roman" w:hAnsi="HelveticaNeue-Light" w:cs="Times New Roman"/>
          <w:color w:val="333333"/>
          <w:sz w:val="21"/>
          <w:szCs w:val="21"/>
        </w:rPr>
        <w:t>Must have a valid, government-issued picture identification. Names will be reflected on the marriage license exactly as they appear on the IDs. The County Clerk's office cannot change the name or spelling of name on ID. Forms of acceptable, valid identification include:</w:t>
      </w:r>
    </w:p>
    <w:p w14:paraId="2020B0F0" w14:textId="77777777" w:rsidR="006F566A" w:rsidRPr="006F566A" w:rsidRDefault="006F566A" w:rsidP="006F566A">
      <w:pPr>
        <w:numPr>
          <w:ilvl w:val="1"/>
          <w:numId w:val="1"/>
        </w:numPr>
        <w:shd w:val="clear" w:color="auto" w:fill="FFFFFF"/>
        <w:spacing w:before="100" w:beforeAutospacing="1" w:after="100" w:afterAutospacing="1"/>
        <w:rPr>
          <w:rFonts w:ascii="HelveticaNeue-Light" w:eastAsia="Times New Roman" w:hAnsi="HelveticaNeue-Light" w:cs="Times New Roman"/>
          <w:color w:val="333333"/>
          <w:sz w:val="21"/>
          <w:szCs w:val="21"/>
        </w:rPr>
      </w:pPr>
      <w:r w:rsidRPr="006F566A">
        <w:rPr>
          <w:rFonts w:ascii="HelveticaNeue-Light" w:eastAsia="Times New Roman" w:hAnsi="HelveticaNeue-Light" w:cs="Times New Roman"/>
          <w:color w:val="333333"/>
          <w:sz w:val="21"/>
          <w:szCs w:val="21"/>
        </w:rPr>
        <w:t>Driver's license</w:t>
      </w:r>
    </w:p>
    <w:p w14:paraId="2130A0BC" w14:textId="77777777" w:rsidR="006F566A" w:rsidRPr="006F566A" w:rsidRDefault="006F566A" w:rsidP="006F566A">
      <w:pPr>
        <w:numPr>
          <w:ilvl w:val="1"/>
          <w:numId w:val="1"/>
        </w:numPr>
        <w:shd w:val="clear" w:color="auto" w:fill="FFFFFF"/>
        <w:spacing w:before="100" w:beforeAutospacing="1" w:after="100" w:afterAutospacing="1"/>
        <w:rPr>
          <w:rFonts w:ascii="HelveticaNeue-Light" w:eastAsia="Times New Roman" w:hAnsi="HelveticaNeue-Light" w:cs="Times New Roman"/>
          <w:color w:val="333333"/>
          <w:sz w:val="21"/>
          <w:szCs w:val="21"/>
        </w:rPr>
      </w:pPr>
      <w:r w:rsidRPr="006F566A">
        <w:rPr>
          <w:rFonts w:ascii="HelveticaNeue-Light" w:eastAsia="Times New Roman" w:hAnsi="HelveticaNeue-Light" w:cs="Times New Roman"/>
          <w:color w:val="333333"/>
          <w:sz w:val="21"/>
          <w:szCs w:val="21"/>
        </w:rPr>
        <w:t>State ID</w:t>
      </w:r>
    </w:p>
    <w:p w14:paraId="619312F4" w14:textId="77777777" w:rsidR="006F566A" w:rsidRPr="006F566A" w:rsidRDefault="006F566A" w:rsidP="006F566A">
      <w:pPr>
        <w:numPr>
          <w:ilvl w:val="1"/>
          <w:numId w:val="1"/>
        </w:numPr>
        <w:shd w:val="clear" w:color="auto" w:fill="FFFFFF"/>
        <w:spacing w:before="100" w:beforeAutospacing="1" w:after="100" w:afterAutospacing="1"/>
        <w:rPr>
          <w:rFonts w:ascii="HelveticaNeue-Light" w:eastAsia="Times New Roman" w:hAnsi="HelveticaNeue-Light" w:cs="Times New Roman"/>
          <w:color w:val="333333"/>
          <w:sz w:val="21"/>
          <w:szCs w:val="21"/>
        </w:rPr>
      </w:pPr>
      <w:r w:rsidRPr="006F566A">
        <w:rPr>
          <w:rFonts w:ascii="HelveticaNeue-Light" w:eastAsia="Times New Roman" w:hAnsi="HelveticaNeue-Light" w:cs="Times New Roman"/>
          <w:color w:val="333333"/>
          <w:sz w:val="21"/>
          <w:szCs w:val="21"/>
        </w:rPr>
        <w:t>Passport</w:t>
      </w:r>
    </w:p>
    <w:p w14:paraId="624AFF7E" w14:textId="77777777" w:rsidR="006F566A" w:rsidRPr="006F566A" w:rsidRDefault="006F566A" w:rsidP="006F566A">
      <w:pPr>
        <w:numPr>
          <w:ilvl w:val="1"/>
          <w:numId w:val="1"/>
        </w:numPr>
        <w:shd w:val="clear" w:color="auto" w:fill="FFFFFF"/>
        <w:spacing w:before="100" w:beforeAutospacing="1" w:after="100" w:afterAutospacing="1"/>
        <w:rPr>
          <w:rFonts w:ascii="HelveticaNeue-Light" w:eastAsia="Times New Roman" w:hAnsi="HelveticaNeue-Light" w:cs="Times New Roman"/>
          <w:color w:val="333333"/>
          <w:sz w:val="21"/>
          <w:szCs w:val="21"/>
        </w:rPr>
      </w:pPr>
      <w:r w:rsidRPr="006F566A">
        <w:rPr>
          <w:rFonts w:ascii="HelveticaNeue-Light" w:eastAsia="Times New Roman" w:hAnsi="HelveticaNeue-Light" w:cs="Times New Roman"/>
          <w:color w:val="333333"/>
          <w:sz w:val="21"/>
          <w:szCs w:val="21"/>
        </w:rPr>
        <w:t>Military ID</w:t>
      </w:r>
    </w:p>
    <w:p w14:paraId="72387157" w14:textId="77777777" w:rsidR="006F566A" w:rsidRPr="006F566A" w:rsidRDefault="006F566A" w:rsidP="006F566A">
      <w:pPr>
        <w:numPr>
          <w:ilvl w:val="1"/>
          <w:numId w:val="1"/>
        </w:numPr>
        <w:shd w:val="clear" w:color="auto" w:fill="FFFFFF"/>
        <w:spacing w:before="100" w:beforeAutospacing="1" w:after="100" w:afterAutospacing="1"/>
        <w:rPr>
          <w:rFonts w:ascii="HelveticaNeue-Light" w:eastAsia="Times New Roman" w:hAnsi="HelveticaNeue-Light" w:cs="Times New Roman"/>
          <w:color w:val="333333"/>
          <w:sz w:val="21"/>
          <w:szCs w:val="21"/>
        </w:rPr>
      </w:pPr>
      <w:r w:rsidRPr="006F566A">
        <w:rPr>
          <w:rFonts w:ascii="HelveticaNeue-Light" w:eastAsia="Times New Roman" w:hAnsi="HelveticaNeue-Light" w:cs="Times New Roman"/>
          <w:color w:val="333333"/>
          <w:sz w:val="21"/>
          <w:szCs w:val="21"/>
        </w:rPr>
        <w:t>Visa</w:t>
      </w:r>
    </w:p>
    <w:p w14:paraId="7A611E5F" w14:textId="77777777" w:rsidR="006F566A" w:rsidRPr="006F566A" w:rsidRDefault="006F566A" w:rsidP="006F566A">
      <w:pPr>
        <w:numPr>
          <w:ilvl w:val="0"/>
          <w:numId w:val="1"/>
        </w:numPr>
        <w:shd w:val="clear" w:color="auto" w:fill="FFFFFF"/>
        <w:spacing w:before="100" w:beforeAutospacing="1" w:after="100" w:afterAutospacing="1"/>
        <w:rPr>
          <w:rFonts w:ascii="HelveticaNeue-Light" w:eastAsia="Times New Roman" w:hAnsi="HelveticaNeue-Light" w:cs="Times New Roman"/>
          <w:color w:val="333333"/>
          <w:sz w:val="21"/>
          <w:szCs w:val="21"/>
        </w:rPr>
      </w:pPr>
      <w:r w:rsidRPr="006F566A">
        <w:rPr>
          <w:rFonts w:ascii="HelveticaNeue-Light" w:eastAsia="Times New Roman" w:hAnsi="HelveticaNeue-Light" w:cs="Times New Roman"/>
          <w:color w:val="333333"/>
          <w:sz w:val="21"/>
          <w:szCs w:val="21"/>
        </w:rPr>
        <w:t>Must know Social Security number.</w:t>
      </w:r>
    </w:p>
    <w:p w14:paraId="7AD727CE" w14:textId="77777777" w:rsidR="006F566A" w:rsidRPr="006F566A" w:rsidRDefault="006F566A" w:rsidP="00426415">
      <w:pPr>
        <w:numPr>
          <w:ilvl w:val="0"/>
          <w:numId w:val="1"/>
        </w:numPr>
        <w:shd w:val="clear" w:color="auto" w:fill="FFFFFF"/>
        <w:spacing w:before="100" w:beforeAutospacing="1" w:after="100" w:afterAutospacing="1"/>
        <w:rPr>
          <w:rFonts w:ascii="HelveticaNeue-Light" w:eastAsia="Times New Roman" w:hAnsi="HelveticaNeue-Light" w:cs="Times New Roman"/>
          <w:color w:val="333333"/>
          <w:sz w:val="21"/>
          <w:szCs w:val="21"/>
        </w:rPr>
      </w:pPr>
      <w:r w:rsidRPr="006F566A">
        <w:rPr>
          <w:rFonts w:ascii="HelveticaNeue-Light" w:eastAsia="Times New Roman" w:hAnsi="HelveticaNeue-Light" w:cs="Times New Roman"/>
          <w:color w:val="333333"/>
          <w:sz w:val="21"/>
          <w:szCs w:val="21"/>
        </w:rPr>
        <w:t>A blood test is NOT required.</w:t>
      </w:r>
    </w:p>
    <w:p w14:paraId="2B1F0F6F" w14:textId="77777777" w:rsidR="006F566A" w:rsidRPr="006F566A" w:rsidRDefault="006F566A" w:rsidP="006F566A">
      <w:pPr>
        <w:shd w:val="clear" w:color="auto" w:fill="FFFFFF"/>
        <w:spacing w:after="150"/>
        <w:rPr>
          <w:rFonts w:ascii="HelveticaNeue-Light" w:hAnsi="HelveticaNeue-Light" w:cs="Times New Roman"/>
          <w:color w:val="333333"/>
          <w:sz w:val="21"/>
          <w:szCs w:val="21"/>
        </w:rPr>
      </w:pPr>
      <w:r w:rsidRPr="006F566A">
        <w:rPr>
          <w:rFonts w:ascii="HelveticaNeue-Bold" w:hAnsi="HelveticaNeue-Bold" w:cs="Times New Roman"/>
          <w:color w:val="333333"/>
          <w:spacing w:val="8"/>
          <w:sz w:val="21"/>
          <w:szCs w:val="21"/>
        </w:rPr>
        <w:t>FORMAL MARRIAGE</w:t>
      </w:r>
    </w:p>
    <w:p w14:paraId="619FEA11" w14:textId="77777777" w:rsidR="006F566A" w:rsidRPr="006F566A" w:rsidRDefault="006F566A" w:rsidP="006F566A">
      <w:pPr>
        <w:shd w:val="clear" w:color="auto" w:fill="FFFFFF"/>
        <w:spacing w:after="150"/>
        <w:rPr>
          <w:rFonts w:ascii="HelveticaNeue-Light" w:hAnsi="HelveticaNeue-Light" w:cs="Times New Roman"/>
          <w:color w:val="333333"/>
          <w:sz w:val="21"/>
          <w:szCs w:val="21"/>
        </w:rPr>
      </w:pPr>
      <w:r w:rsidRPr="006F566A">
        <w:rPr>
          <w:rFonts w:ascii="HelveticaNeue-Light" w:hAnsi="HelveticaNeue-Light" w:cs="Times New Roman"/>
          <w:color w:val="333333"/>
          <w:sz w:val="21"/>
          <w:szCs w:val="21"/>
        </w:rPr>
        <w:t>A formal marriage license can be obtained from any county in Texas and the marriage can be performed anywhere. If the marriage takes place outside of Texas, contact the appropriate state office, consulate or embassy to learn the marriage requirements for that state or country.</w:t>
      </w:r>
    </w:p>
    <w:p w14:paraId="4EE378B9" w14:textId="77777777" w:rsidR="006F566A" w:rsidRPr="006F566A" w:rsidRDefault="006F566A" w:rsidP="006F566A">
      <w:pPr>
        <w:shd w:val="clear" w:color="auto" w:fill="FFFFFF"/>
        <w:spacing w:after="150"/>
        <w:rPr>
          <w:rFonts w:ascii="HelveticaNeue-Light" w:hAnsi="HelveticaNeue-Light" w:cs="Times New Roman"/>
          <w:color w:val="333333"/>
          <w:sz w:val="21"/>
          <w:szCs w:val="21"/>
        </w:rPr>
      </w:pPr>
      <w:r w:rsidRPr="006F566A">
        <w:rPr>
          <w:rFonts w:ascii="HelveticaNeue-Light" w:hAnsi="HelveticaNeue-Light" w:cs="Times New Roman"/>
          <w:color w:val="333333"/>
          <w:sz w:val="21"/>
          <w:szCs w:val="21"/>
        </w:rPr>
        <w:t>Additional requirements and information:</w:t>
      </w:r>
    </w:p>
    <w:p w14:paraId="079B364A" w14:textId="77777777" w:rsidR="006F566A" w:rsidRPr="006F566A" w:rsidRDefault="006F566A" w:rsidP="006F566A">
      <w:pPr>
        <w:numPr>
          <w:ilvl w:val="0"/>
          <w:numId w:val="2"/>
        </w:numPr>
        <w:shd w:val="clear" w:color="auto" w:fill="FFFFFF"/>
        <w:spacing w:after="150"/>
        <w:rPr>
          <w:rFonts w:ascii="HelveticaNeue-Light" w:hAnsi="HelveticaNeue-Light" w:cs="Times New Roman"/>
          <w:color w:val="333333"/>
          <w:sz w:val="21"/>
          <w:szCs w:val="21"/>
        </w:rPr>
      </w:pPr>
      <w:r w:rsidRPr="006F566A">
        <w:rPr>
          <w:rFonts w:ascii="HelveticaNeue-Light" w:hAnsi="HelveticaNeue-Light" w:cs="Times New Roman"/>
          <w:color w:val="333333"/>
          <w:sz w:val="21"/>
          <w:szCs w:val="21"/>
        </w:rPr>
        <w:t>There is a 72-hour waiting period after the license is issued before the marriage ceremony can take place. The 72-hour waiting period can be waived by meeting one of three criteria.</w:t>
      </w:r>
    </w:p>
    <w:p w14:paraId="687E69A1" w14:textId="77777777" w:rsidR="006F566A" w:rsidRPr="006F566A" w:rsidRDefault="006F566A" w:rsidP="006F566A">
      <w:pPr>
        <w:numPr>
          <w:ilvl w:val="1"/>
          <w:numId w:val="2"/>
        </w:numPr>
        <w:shd w:val="clear" w:color="auto" w:fill="FFFFFF"/>
        <w:spacing w:after="150"/>
        <w:rPr>
          <w:rFonts w:ascii="HelveticaNeue-Light" w:hAnsi="HelveticaNeue-Light" w:cs="Times New Roman"/>
          <w:color w:val="333333"/>
          <w:sz w:val="21"/>
          <w:szCs w:val="21"/>
        </w:rPr>
      </w:pPr>
      <w:r w:rsidRPr="006F566A">
        <w:rPr>
          <w:rFonts w:ascii="HelveticaNeue-Light" w:hAnsi="HelveticaNeue-Light" w:cs="Times New Roman"/>
          <w:color w:val="333333"/>
          <w:sz w:val="21"/>
          <w:szCs w:val="21"/>
        </w:rPr>
        <w:t>The waiting period does not apply if an applicant is a member of the armed forces. Military ID must be shown to the person who performs the marriage ceremony.</w:t>
      </w:r>
    </w:p>
    <w:p w14:paraId="54A740E5" w14:textId="77777777" w:rsidR="006F566A" w:rsidRPr="006F566A" w:rsidRDefault="006F566A" w:rsidP="006F566A">
      <w:pPr>
        <w:numPr>
          <w:ilvl w:val="1"/>
          <w:numId w:val="2"/>
        </w:numPr>
        <w:shd w:val="clear" w:color="auto" w:fill="FFFFFF"/>
        <w:spacing w:after="150"/>
        <w:rPr>
          <w:rFonts w:ascii="HelveticaNeue-Light" w:hAnsi="HelveticaNeue-Light" w:cs="Times New Roman"/>
          <w:color w:val="333333"/>
          <w:sz w:val="21"/>
          <w:szCs w:val="21"/>
        </w:rPr>
      </w:pPr>
      <w:r w:rsidRPr="006F566A">
        <w:rPr>
          <w:rFonts w:ascii="HelveticaNeue-Light" w:hAnsi="HelveticaNeue-Light" w:cs="Times New Roman"/>
          <w:color w:val="333333"/>
          <w:sz w:val="21"/>
          <w:szCs w:val="21"/>
        </w:rPr>
        <w:t>The waiting period does not apply if the applicant obtains a 72-hour waiver signed by a District Judge. Waiver must be shown and kept by the person performing the ceremony.</w:t>
      </w:r>
    </w:p>
    <w:p w14:paraId="2F717140" w14:textId="77777777" w:rsidR="006F566A" w:rsidRPr="006F566A" w:rsidRDefault="006F566A" w:rsidP="006F566A">
      <w:pPr>
        <w:numPr>
          <w:ilvl w:val="1"/>
          <w:numId w:val="2"/>
        </w:numPr>
        <w:shd w:val="clear" w:color="auto" w:fill="FFFFFF"/>
        <w:spacing w:after="150"/>
        <w:rPr>
          <w:rFonts w:ascii="HelveticaNeue-Light" w:hAnsi="HelveticaNeue-Light" w:cs="Times New Roman"/>
          <w:color w:val="333333"/>
          <w:sz w:val="21"/>
          <w:szCs w:val="21"/>
        </w:rPr>
      </w:pPr>
      <w:r w:rsidRPr="006F566A">
        <w:rPr>
          <w:rFonts w:ascii="HelveticaNeue-Light" w:hAnsi="HelveticaNeue-Light" w:cs="Times New Roman"/>
          <w:color w:val="333333"/>
          <w:sz w:val="21"/>
          <w:szCs w:val="21"/>
        </w:rPr>
        <w:t>Applicants possess a valid Twogether in Texas Certificate. Certificate must be shown to the person who performs the ceremony.</w:t>
      </w:r>
    </w:p>
    <w:p w14:paraId="2E1278D8" w14:textId="77777777" w:rsidR="006F566A" w:rsidRPr="006F566A" w:rsidRDefault="006F566A" w:rsidP="006F566A">
      <w:pPr>
        <w:numPr>
          <w:ilvl w:val="0"/>
          <w:numId w:val="2"/>
        </w:numPr>
        <w:shd w:val="clear" w:color="auto" w:fill="FFFFFF"/>
        <w:spacing w:after="150"/>
        <w:rPr>
          <w:rFonts w:ascii="HelveticaNeue-Light" w:hAnsi="HelveticaNeue-Light" w:cs="Times New Roman"/>
          <w:color w:val="333333"/>
          <w:sz w:val="21"/>
          <w:szCs w:val="21"/>
        </w:rPr>
      </w:pPr>
      <w:r w:rsidRPr="006F566A">
        <w:rPr>
          <w:rFonts w:ascii="HelveticaNeue-Light" w:hAnsi="HelveticaNeue-Light" w:cs="Times New Roman"/>
          <w:color w:val="333333"/>
          <w:sz w:val="21"/>
          <w:szCs w:val="21"/>
        </w:rPr>
        <w:t>The marriage must take place within 90 days from the date of issuance--no exceptions.</w:t>
      </w:r>
    </w:p>
    <w:p w14:paraId="15B2D315" w14:textId="77777777" w:rsidR="006F566A" w:rsidRPr="006F566A" w:rsidRDefault="006F566A" w:rsidP="006F566A">
      <w:pPr>
        <w:numPr>
          <w:ilvl w:val="0"/>
          <w:numId w:val="2"/>
        </w:numPr>
        <w:shd w:val="clear" w:color="auto" w:fill="FFFFFF"/>
        <w:spacing w:after="150"/>
        <w:rPr>
          <w:rFonts w:ascii="HelveticaNeue-Light" w:hAnsi="HelveticaNeue-Light" w:cs="Times New Roman"/>
          <w:color w:val="333333"/>
          <w:sz w:val="21"/>
          <w:szCs w:val="21"/>
        </w:rPr>
      </w:pPr>
      <w:r w:rsidRPr="006F566A">
        <w:rPr>
          <w:rFonts w:ascii="HelveticaNeue-Light" w:hAnsi="HelveticaNeue-Light" w:cs="Times New Roman"/>
          <w:color w:val="333333"/>
          <w:sz w:val="21"/>
          <w:szCs w:val="21"/>
        </w:rPr>
        <w:t>If divorced in Texas, there is a 30-day waiting period after the divorce is final before remarriage--unless waived. If the 30-day waiting period is waived, a certified copy must be presented at the time the license is purchased.</w:t>
      </w:r>
    </w:p>
    <w:p w14:paraId="08589397" w14:textId="77777777" w:rsidR="008F4BE5" w:rsidRPr="00426415" w:rsidRDefault="006F566A" w:rsidP="00426415">
      <w:pPr>
        <w:numPr>
          <w:ilvl w:val="0"/>
          <w:numId w:val="2"/>
        </w:numPr>
        <w:shd w:val="clear" w:color="auto" w:fill="FFFFFF"/>
        <w:spacing w:after="150"/>
        <w:rPr>
          <w:rFonts w:ascii="HelveticaNeue-Light" w:hAnsi="HelveticaNeue-Light" w:cs="Times New Roman"/>
          <w:color w:val="333333"/>
          <w:sz w:val="21"/>
          <w:szCs w:val="21"/>
        </w:rPr>
      </w:pPr>
      <w:r w:rsidRPr="006F566A">
        <w:rPr>
          <w:rFonts w:ascii="HelveticaNeue-Light" w:hAnsi="HelveticaNeue-Light" w:cs="Times New Roman"/>
          <w:color w:val="333333"/>
          <w:sz w:val="21"/>
          <w:szCs w:val="21"/>
        </w:rPr>
        <w:t xml:space="preserve">The fee is $71 cash, Visa, </w:t>
      </w:r>
      <w:proofErr w:type="spellStart"/>
      <w:r w:rsidRPr="006F566A">
        <w:rPr>
          <w:rFonts w:ascii="HelveticaNeue-Light" w:hAnsi="HelveticaNeue-Light" w:cs="Times New Roman"/>
          <w:color w:val="333333"/>
          <w:sz w:val="21"/>
          <w:szCs w:val="21"/>
        </w:rPr>
        <w:t>Mastercard</w:t>
      </w:r>
      <w:proofErr w:type="spellEnd"/>
      <w:r w:rsidRPr="006F566A">
        <w:rPr>
          <w:rFonts w:ascii="HelveticaNeue-Light" w:hAnsi="HelveticaNeue-Light" w:cs="Times New Roman"/>
          <w:color w:val="333333"/>
          <w:sz w:val="21"/>
          <w:szCs w:val="21"/>
        </w:rPr>
        <w:t>, American Express or Discover. (Credit card use adds an additional 3 percent fee.)</w:t>
      </w:r>
    </w:p>
    <w:sectPr w:rsidR="008F4BE5" w:rsidRPr="00426415" w:rsidSect="004264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59FD7" w14:textId="77777777" w:rsidR="003A35A1" w:rsidRDefault="003A35A1" w:rsidP="00426415">
      <w:r>
        <w:separator/>
      </w:r>
    </w:p>
  </w:endnote>
  <w:endnote w:type="continuationSeparator" w:id="0">
    <w:p w14:paraId="04598B9F" w14:textId="77777777" w:rsidR="003A35A1" w:rsidRDefault="003A35A1" w:rsidP="00426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Neue-Bold">
    <w:charset w:val="00"/>
    <w:family w:val="auto"/>
    <w:pitch w:val="variable"/>
    <w:sig w:usb0="E50002FF" w:usb1="500079DB" w:usb2="00001010" w:usb3="00000000" w:csb0="00000001" w:csb1="00000000"/>
  </w:font>
  <w:font w:name="HelveticaNeue-Light">
    <w:charset w:val="00"/>
    <w:family w:val="auto"/>
    <w:pitch w:val="variable"/>
    <w:sig w:usb0="A00002FF" w:usb1="5000205B" w:usb2="00000002" w:usb3="00000000" w:csb0="00000007"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22CD4" w14:textId="77777777" w:rsidR="00426415" w:rsidRPr="00426415" w:rsidRDefault="00426415">
    <w:pPr>
      <w:pStyle w:val="Footer"/>
      <w:rPr>
        <w:rFonts w:ascii="Apple Chancery" w:hAnsi="Apple Chancery" w:cs="Apple Chancery"/>
        <w:color w:val="FFDEFB"/>
      </w:rPr>
    </w:pPr>
    <w:r w:rsidRPr="00426415">
      <w:rPr>
        <w:rFonts w:ascii="Apple Chancery" w:hAnsi="Apple Chancery" w:cs="Apple Chancery"/>
        <w:color w:val="FFDEFB"/>
      </w:rPr>
      <w:t>www.eventsbyjade.com</w:t>
    </w:r>
    <w:r w:rsidRPr="00426415">
      <w:rPr>
        <w:rFonts w:ascii="Apple Chancery" w:hAnsi="Apple Chancery" w:cs="Apple Chancery"/>
        <w:color w:val="FFDEFB"/>
      </w:rPr>
      <w:tab/>
    </w:r>
    <w:r w:rsidRPr="00426415">
      <w:rPr>
        <w:rFonts w:ascii="Apple Chancery" w:hAnsi="Apple Chancery" w:cs="Apple Chancery"/>
        <w:color w:val="FFDEFB"/>
      </w:rPr>
      <w:tab/>
      <w:t>817-715-5233</w:t>
    </w:r>
    <w:r w:rsidRPr="00426415">
      <w:rPr>
        <w:rFonts w:ascii="Apple Chancery" w:hAnsi="Apple Chancery" w:cs="Apple Chancery"/>
        <w:color w:val="FFDEFB"/>
      </w:rPr>
      <w:tab/>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D51DB" w14:textId="77777777" w:rsidR="003A35A1" w:rsidRDefault="003A35A1" w:rsidP="00426415">
      <w:r>
        <w:separator/>
      </w:r>
    </w:p>
  </w:footnote>
  <w:footnote w:type="continuationSeparator" w:id="0">
    <w:p w14:paraId="4349FF37" w14:textId="77777777" w:rsidR="003A35A1" w:rsidRDefault="003A35A1" w:rsidP="004264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E95DC9"/>
    <w:multiLevelType w:val="multilevel"/>
    <w:tmpl w:val="654686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D50CDA"/>
    <w:multiLevelType w:val="multilevel"/>
    <w:tmpl w:val="6DB892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66A"/>
    <w:rsid w:val="00113BF2"/>
    <w:rsid w:val="003A35A1"/>
    <w:rsid w:val="00426415"/>
    <w:rsid w:val="00493F2E"/>
    <w:rsid w:val="006F566A"/>
    <w:rsid w:val="008C3474"/>
    <w:rsid w:val="00C254DB"/>
    <w:rsid w:val="00ED0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A3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F566A"/>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6F566A"/>
  </w:style>
  <w:style w:type="character" w:styleId="Hyperlink">
    <w:name w:val="Hyperlink"/>
    <w:basedOn w:val="DefaultParagraphFont"/>
    <w:uiPriority w:val="99"/>
    <w:unhideWhenUsed/>
    <w:rsid w:val="006F566A"/>
    <w:rPr>
      <w:color w:val="0000FF"/>
      <w:u w:val="single"/>
    </w:rPr>
  </w:style>
  <w:style w:type="paragraph" w:styleId="Header">
    <w:name w:val="header"/>
    <w:basedOn w:val="Normal"/>
    <w:link w:val="HeaderChar"/>
    <w:uiPriority w:val="99"/>
    <w:unhideWhenUsed/>
    <w:rsid w:val="00426415"/>
    <w:pPr>
      <w:tabs>
        <w:tab w:val="center" w:pos="4680"/>
        <w:tab w:val="right" w:pos="9360"/>
      </w:tabs>
    </w:pPr>
  </w:style>
  <w:style w:type="character" w:customStyle="1" w:styleId="HeaderChar">
    <w:name w:val="Header Char"/>
    <w:basedOn w:val="DefaultParagraphFont"/>
    <w:link w:val="Header"/>
    <w:uiPriority w:val="99"/>
    <w:rsid w:val="00426415"/>
  </w:style>
  <w:style w:type="paragraph" w:styleId="Footer">
    <w:name w:val="footer"/>
    <w:basedOn w:val="Normal"/>
    <w:link w:val="FooterChar"/>
    <w:uiPriority w:val="99"/>
    <w:unhideWhenUsed/>
    <w:rsid w:val="00426415"/>
    <w:pPr>
      <w:tabs>
        <w:tab w:val="center" w:pos="4680"/>
        <w:tab w:val="right" w:pos="9360"/>
      </w:tabs>
    </w:pPr>
  </w:style>
  <w:style w:type="character" w:customStyle="1" w:styleId="FooterChar">
    <w:name w:val="Footer Char"/>
    <w:basedOn w:val="DefaultParagraphFont"/>
    <w:link w:val="Footer"/>
    <w:uiPriority w:val="99"/>
    <w:rsid w:val="004264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2277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315</Words>
  <Characters>1796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Batangan</dc:creator>
  <cp:keywords/>
  <dc:description/>
  <cp:lastModifiedBy>Jade Batangan</cp:lastModifiedBy>
  <cp:revision>2</cp:revision>
  <dcterms:created xsi:type="dcterms:W3CDTF">2017-03-30T17:02:00Z</dcterms:created>
  <dcterms:modified xsi:type="dcterms:W3CDTF">2017-03-30T17:02:00Z</dcterms:modified>
</cp:coreProperties>
</file>